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天津市第四中心医院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创建于1930年，前身是天津铁路中心医院，经过95年的建设现已发展成为集医疗、教学、科研、预防、保健、康复、心身为一体的综合性三级甲等医院，为天津市北部区域医疗中心。拥有博士、硕士研究生导师61人，以及享受国务院政府特殊津贴专家、天津市有突出贡献专家、首届天津名医、“131”创新型人才培养工程一层次人选、天津市卫生健康行业高层次人才选拔培养工程等各类人才。为天津市医学影像质控中心、天津市感染预防与控制质控中心以及天津市医学设备管理质量控制中心挂靠单位。</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医院为国家级住院医师规范化培训专业基地、国家级博士后科研工作站，建有独立中心实验楼及临床实训基地。作为天津医科大学附属第四中心医院，同时承担天津医科大学、天津大学、南开大学、天津中医药大学等多所高校百余名博硕士研究生临床带教工作。作为主编单位的《国际医学放射学杂志》，入选国家首批临床医学领域高质量科技期刊分级目录</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天津市第四中心医院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单位本级(内设78个职能科室)和0个所属预算单位(不含本级)，具体构成如下:</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1.天津市第四中心医院</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天津市第四中心医院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51376063.42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26415800.00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900724191.87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999037949.86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8063836.86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986579892.15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999115949.86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15763507.50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8061148.54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11288598.33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8061148.54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1010404548.19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1010404548.19</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天津市第四中心医院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986579892.15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77791863.42</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900724191.87</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8063836.86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986501892.15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77713863.42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900724191.87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8063836.86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954589092.15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45801063.42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900724191.87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8063836.86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954589092.15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45801063.42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900724191.87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8063836.86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5295000.00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5295000.00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3494000.00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3494000.00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1801000.00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1801000.00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26415800.00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26415800.00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2109801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26415800.00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26415800.00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天津市第四中心医院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1010404548.19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986579892.15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51376063.42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26415800.00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900724191.87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8063836.86</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368235</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天津市第四中心医院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1010404548.19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986579892.15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51376063.42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26415800.00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900724191.87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8063836.86</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天津市第四中心医院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23824656.04</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23824656.04</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23824656.04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368235</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天津市第四中心医院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23824656.04</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23824656.04</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23824656.04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天津市第四中心医院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999115949.86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461383510.67</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537732439.19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引进人才费用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999037949.86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461355510.67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537682439.19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967125149.86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456060510.67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511064639.19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综合医院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967125149.86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456060510.67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511064639.19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192000.00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基本公共卫生服务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重大公共卫生服务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中医药事务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中医（民族医）药专项</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超长期特别国债安排的支出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26415800.00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26415800.00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2109801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26415800.00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26415800.00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天津市第四中心医院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51376063.42</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26415800.00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78000.00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78000.00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77713863.42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51298063.42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26415800.00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77791863.42</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77791863.42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51376063.42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26415800.00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77791863.42</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77791863.42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51376063.42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26415800.00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天津市第四中心医院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51376063.42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42092000.00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40939000.00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1153000.00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9284063.42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引进人才费用</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51298063.42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42064000.00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40911000.00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1153000.00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9234063.42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45801063.42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36769000.00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35616000.00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1153000.00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9032063.42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综合医院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45801063.42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36769000.00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35616000.00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1153000.00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9032063.42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192000.00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基本公共卫生服务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重大公共卫生服务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中医药事务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中医（民族医）药专项</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天津市第四中心医院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36020861.31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1153000.00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1153000.00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21328000.00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9128000.00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4838924.50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105936.81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4918138.69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291105.60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3930417.46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696615.63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40939000.00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1153000.00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天津市第四中心医院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26415800.00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26415800.00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26415800.00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超长期特别国债安排的支出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2109801</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天津市第四中心医院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天津市第四中心医院2025年度国有资本经营预算财政拨款收入支出决算表为空表。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天津市第四中心医院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天津市第四中心医院2025年财政拨款“三公”经费支出决算表为空表。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天津市第四中心医院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537732439.19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9284063.42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26415800.00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502032575.77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第二批卫生健康行业高层次人才选拔培养工程第一年度资助经费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537682439.19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9234063.42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502032575.77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511064639.19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9032063.42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502032575.77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511064639.19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9032063.42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502032575.77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传染病监测预警与应急指挥能力提升（传染病四大症候群监测）——2025年中央医疗服务与保障能力提升（机构和人才）（第二批）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第二批患者救治费用（2025市级）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儿科同等学力资助（2025年市级）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儿科医师岗位补助（2025年市级）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患者救治费用（2025市级）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紧缺人才培训（病原微生物实验室生物安全人员培训）（2025年中央医疗服务与保障能力提升）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324000.00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324000.00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紧缺人才培训（病原微生物实验室生物安全人员培训）——2025年第二批中央医疗服务与保障能力提升（卫生健康人才培养）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精神卫生服务能力提升（心理门诊）——2025年第二批中央医疗服务与保障能力提升（医疗卫生机构能力建设）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437950.00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437950.00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实验室生物安全管理（2025年市级）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天津市第四中心医院病房改造提升项目（2025年一般债）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天津市第四中心医院专科学科能力建设（2025年一般债券）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天津市临床重点专科建设（2025年市级）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729256.35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729256.35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卫生健康系统对口支援帮扶（2025年市级）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卫生健康质控中心管理（2025年市级）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123157.07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123157.07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住院医师规范化培训-01直达资金-2024年医疗服务与保障能力提升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2450700.00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2450700.00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药物临床试验</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1890578.05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1890578.05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天津市第四中心医院病房改造提升项目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335454.00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335454.00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天津市第四中心医院急诊大楼与五官科楼建设楼问连廊(L型)项目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2073661.37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2073661.37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自有收入-药品耗材及资产购置（2025年）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497553909.55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497553909.55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自有收入-工程建设信息化及其他（2025年）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178972.80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178972.80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基本公共卫生服务-新划入项目-职业病防治（2025年）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重点传染病及健康危害因素监测（细菌性传染病监测（国家致病菌识别网））（2025年第二批重大公共卫生服务）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重点传染病及健康危害因素监测（细菌性传染病监测（国家致病菌识别网））（2025年中央重大公共卫生服务）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重点传染病及健康危害因素监测（新冠变异监测（本土变异监测））（2025年中央重大公共卫生服务）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重点传染病及健康危害因素监测（重点呼吸道传染病监测）(2025年中央重大公共卫生服务）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中医药事业创新发展（2025年市级）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2024年超长期特别国债（推动大规模设备更新和消费品以旧换新领域）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26415800.00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1,010,404,548.19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增加4,335,124.68元，增长0.43%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2025年度医院支出较上年度略有增加，人员支出增加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一般公共预算财政拨款收入51,376,063.42元、政府性基金预算财政拨款收入26,415,800.00元、事业收入900,724,191.87元、其他收入8,063,836.86元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社会保障和就业支出78,000.00元、卫生健康支出999,037,949.86元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天津市第四中心医院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986,579,892.15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减少12,538,520.53元，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2025年度诊疗人次、出院人数、次均费用同比均有所下降，医疗收入减少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一般公共预算财政拨款收入51,376,063.42元，占5.21%；政府性基金预算财政拨款收入26,415,800.00元，占2.68%；事业收入900,724,191.87元，占91.30%；其他收入8,063,836.86元，占0.82%</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天津市第四中心医院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999,115,949.86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增加18,308,939.39元，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2025年度医院人员支出较上年度增加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基本支出461,383,510.67元，占46.18%；项目支出537,732,439.19元，占53.82%</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77,791,863.42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减少1,560,479.94元，下降1.97%，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2024年度结转至2025年的政府性基金预算财政拨款超长期特别国债设备更新项目资金使用额度较2024年度少，使财政拨款收入、支出减少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一般公共预算财政拨款51,376,063.42元、政府性基金预算财政拨款26,415,800.00元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社会保障和就业支出78,000.00元、卫生健康支出77,713,863.42元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天津市第四中心医院2025年度一般公共预算财政拨款支出合计51,376,063.42元，占本年支出合计的5.14%。与2024年度相比，一般公共预算财政拨款支出</w:t>
      </w:r>
      <w:r>
        <w:rPr>
          <w:rFonts w:eastAsia="仿宋_GB2312" w:hint="eastAsia"/>
          <w:sz w:val="30"/>
          <w:szCs w:val="30"/>
          <w:highlight w:val="none"/>
          <w:lang w:val="en-US" w:eastAsia="zh-CN"/>
        </w:rPr>
        <w:t xml:space="preserve">增加5,607,860.06元</w:t>
      </w:r>
      <w:r>
        <w:rPr>
          <w:rFonts w:eastAsia="仿宋_GB2312" w:hint="eastAsia"/>
          <w:sz w:val="30"/>
          <w:szCs w:val="30"/>
          <w:highlight w:val="none"/>
          <w:lang w:val="en-US" w:eastAsia="zh-CN"/>
        </w:rPr>
        <w:t xml:space="preserve">，增长12.25%</w:t>
      </w:r>
      <w:r>
        <w:rPr>
          <w:rFonts w:eastAsia="仿宋_GB2312" w:hint="eastAsia"/>
          <w:sz w:val="30"/>
          <w:szCs w:val="30"/>
          <w:highlight w:val="none"/>
          <w:lang w:val="en-US" w:eastAsia="zh-CN"/>
        </w:rPr>
        <w:t xml:space="preserve">，主要原因是一般公共预算财政基本拨款较2024年度略有增加，住院医师规范化培训项目资金较2024年度增加，2025年度新增了病房改造提升、专科学科能力建设项目。</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2025年度一般公共预算财政拨款支出51,376,063.42元，主要用于以下方面：</w:t>
      </w:r>
      <w:r>
        <w:rPr>
          <w:rFonts w:eastAsia="仿宋_GB2312" w:hint="eastAsia"/>
          <w:sz w:val="30"/>
          <w:szCs w:val="30"/>
          <w:highlight w:val="none"/>
        </w:rPr>
        <w:t xml:space="preserve">社会保障和就业支出（类）支出78,000.00元，占0.15%，卫生健康支出（类）支出51,298,063.42元，占99.85%</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2025年度一般公共预算财政拨款支出年初预算为51,895,700.00元，支出决算为51,376,063.42元</w:t>
      </w:r>
      <w:r>
        <w:rPr>
          <w:rFonts w:eastAsia="仿宋_GB2312" w:hint="eastAsia"/>
          <w:sz w:val="30"/>
          <w:szCs w:val="30"/>
          <w:highlight w:val="none"/>
          <w:lang w:val="en-US" w:eastAsia="zh-CN"/>
        </w:rPr>
        <w:t xml:space="preserve">，完成年初预算的99.00%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人力资源和社会保障管理事务（款）引进人才费用（项）年初预算为0.00元，支出决算为50,000.00元，决算数大于年初预算数的主要原因是：引进人才费用项目为2025年中调增项目，年初无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基本养老保险缴费支出（项）年初预算为0.00元，支出决算为28,000.00元，决算数大于年初预算数的主要原因是：机关事业单位基本养老保险缴费支出为2025年中调增项目，年初无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公立医院（款）综合医院（项）年初预算为46,408,700.00元，支出决算为45,801,063.42元，完成年初预算的98.69%，决算数小于年初预算数的主要原因是：2025年度部分住院医师规范化培训中央财政资金，按照执行计划结转至2026年度使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4.卫生健康支出（类）公共卫生（款）基本公共卫生服务（项）年初预算为30,000.00元，支出决算为30,000.00元，完成年初预算的100.00%，决算数与年初预算数持平的主要原因是：按计划完成了预算执行。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公共卫生（款）重大公共卫生服务（项）年初预算为152,000.00元，支出决算为162,000.00元，完成年初预算的106.58%，决算数大于年初预算数的主要原因是：重大公共卫生服务项目有2025年中调增第二批项目资金，该部分资金年初无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6.卫生健康支出（类）行政事业单位医疗（款）事业单位医疗（项）年初预算为3,494,000.00元，支出决算为3,494,000.00元，完成年初预算的100.00%，决算数与年初预算数持平的主要原因是：按计划完成了预算执行。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其他行政事业单位医疗支出（项）年初预算为1,801,000.00元，支出决算为1,801,000.00元，完成年初预算的100.00%，决算数与年初预算数持平的主要原因是：按计划完成了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8.卫生健康支出（类）中医药事务（款）中医（民族医）药专项（项）年初预算为10,000.00元，支出决算为10,000.00元，完成年初预算的100.00%，决算数与年初预算数持平的主要原因是：按计划完成了预算执行。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天津市第四中心医院2025年度一般公共预算财政拨款基本支出合计42,092,000.00元，与2024年度相比</w:t>
      </w:r>
      <w:r>
        <w:rPr>
          <w:rFonts w:eastAsia="仿宋_GB2312" w:hint="eastAsia"/>
          <w:sz w:val="30"/>
          <w:szCs w:val="30"/>
          <w:highlight w:val="none"/>
          <w:lang w:val="en-US" w:eastAsia="zh-CN"/>
        </w:rPr>
        <w:t xml:space="preserve">增加1,472,800.00元，</w:t>
      </w:r>
      <w:r>
        <w:rPr>
          <w:rFonts w:eastAsia="仿宋_GB2312" w:hint="eastAsia"/>
          <w:sz w:val="30"/>
          <w:szCs w:val="30"/>
          <w:highlight w:val="none"/>
          <w:lang w:val="en-US" w:eastAsia="zh-CN"/>
        </w:rPr>
        <w:t xml:space="preserve">主要原因是2025年度财政拨款基本支出相比2024年增加，基本养老保险缴费、离退休费增加。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人员经费40,939,000.00元，主要包括</w:t>
      </w:r>
      <w:r>
        <w:rPr>
          <w:rFonts w:eastAsia="仿宋_GB2312" w:hint="eastAsia"/>
          <w:sz w:val="30"/>
          <w:szCs w:val="30"/>
          <w:highlight w:val="none"/>
          <w:lang w:val="en-US" w:eastAsia="zh-CN"/>
        </w:rPr>
        <w:t xml:space="preserve">机关事业单位基本养老保险缴费、职业年金缴费、职工基本医疗保险缴费、其他社会保障缴费、医疗费、离休费、退休费、医疗费补助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公用经费1,153,000.00元，主要包括</w:t>
      </w:r>
      <w:r>
        <w:rPr>
          <w:rFonts w:eastAsia="仿宋_GB2312" w:hint="eastAsia"/>
          <w:sz w:val="30"/>
          <w:szCs w:val="30"/>
          <w:highlight w:val="none"/>
          <w:lang w:val="en-US" w:eastAsia="zh-CN"/>
        </w:rPr>
        <w:t xml:space="preserve">电费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天津市第四中心医院2025年度政府性基金预算财政拨款年初结转和结余0.00元，收入26,415,800.00元，支出26,415,800.00元，年末结转和结余0.00元。与2024年度相比，政府性基金预算财政拨款支出</w:t>
      </w:r>
      <w:r>
        <w:rPr>
          <w:rFonts w:eastAsia="仿宋_GB2312" w:hint="eastAsia"/>
          <w:sz w:val="30"/>
          <w:szCs w:val="30"/>
          <w:highlight w:val="none"/>
          <w:lang w:val="en-US" w:eastAsia="zh-CN"/>
        </w:rPr>
        <w:t xml:space="preserve">减少7,168,340.00元，</w:t>
      </w:r>
      <w:r>
        <w:rPr>
          <w:rFonts w:eastAsia="仿宋_GB2312" w:hint="eastAsia"/>
          <w:sz w:val="30"/>
          <w:szCs w:val="30"/>
          <w:highlight w:val="none"/>
          <w:lang w:val="en-US" w:eastAsia="zh-CN"/>
        </w:rPr>
        <w:t xml:space="preserve">下降21.34%，</w:t>
      </w:r>
      <w:r>
        <w:rPr>
          <w:rFonts w:eastAsia="仿宋_GB2312" w:hint="eastAsia"/>
          <w:sz w:val="30"/>
          <w:szCs w:val="30"/>
          <w:highlight w:val="none"/>
          <w:lang w:val="en-US" w:eastAsia="zh-CN"/>
        </w:rPr>
        <w:t xml:space="preserve">主要原因是2024年结转至2025年的政府性基金预算财政拨款为超长期特别国债设备更新项目资金，结转资金额度较2024年使用资金额度少。</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2025年度政府性基金预算财政拨款支出26,415,800.00元，主要用于以下方面：</w:t>
      </w:r>
      <w:r>
        <w:rPr>
          <w:rFonts w:eastAsia="仿宋_GB2312" w:hint="eastAsia"/>
          <w:sz w:val="28"/>
          <w:szCs w:val="28"/>
          <w:highlight w:val="none"/>
        </w:rPr>
        <w:t xml:space="preserve">卫生健康支出（类）支出26,415,800.00元，占100.00%</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2025年度政府性基金预算财政拨款支出年初预算为26,415,800.00元，支出决算为26,415,800.00元</w:t>
      </w:r>
      <w:r>
        <w:rPr>
          <w:rFonts w:eastAsia="仿宋_GB2312" w:hint="eastAsia"/>
          <w:sz w:val="30"/>
          <w:szCs w:val="30"/>
          <w:highlight w:val="none"/>
          <w:lang w:val="en-US" w:eastAsia="zh-CN"/>
        </w:rPr>
        <w:t xml:space="preserve">，完成年初预算的100.00%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卫生健康支出（类）超长期特别国债安排的支出（款）公立医院（项）年初预算为26,415,800.00元，支出决算为26,415,800.00元，完成年初预算的100.00%，决算数与年初预算数持平的主要原因是：按计划完成了预算执行。</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决算数与预算数持平的主要原因是本年未用财政拨款经费列支“三公”经费；</w:t>
      </w:r>
      <w:r>
        <w:rPr>
          <w:rFonts w:eastAsia="仿宋_GB2312" w:hint="eastAsia"/>
          <w:sz w:val="30"/>
          <w:szCs w:val="30"/>
          <w:highlight w:val="none"/>
          <w:lang w:val="en-US" w:eastAsia="zh-CN"/>
        </w:rPr>
        <w:t xml:space="preserve">决算数较上年持平的主要原因是本年未用财政拨款经费列支“三公”经费。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决算数与预算数持平的主要原因是本年未用财政拨款经费列支因公出国（境）费；</w:t>
      </w:r>
      <w:r>
        <w:rPr>
          <w:rFonts w:eastAsia="仿宋_GB2312" w:hint="eastAsia"/>
          <w:sz w:val="30"/>
          <w:szCs w:val="30"/>
          <w:highlight w:val="none"/>
          <w:lang w:val="en-US" w:eastAsia="zh-CN"/>
        </w:rPr>
        <w:t xml:space="preserve">决算数较上年持平的主要原因是本年未用财政拨款经费列支因公出国（境）费。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第四中心医院2025年政府采购支出总额39,070,935.30元，其中：政府采购货物支出9,555,935.30元、政府采购工程支出3,755,000.00元、政府采购服务支出25,760,000.00元。授予中小企业合同金额3,170,296.30元，占政府采购支出总额的8.11%，其中：授予小微企业合同金额3,170,296.30元，占政府采购支出总额的8.11%；货物采购授予中小企业合同金额占货物支出金额的2.72%，工程采购授予中小企业合同金额占工程支出金额的0.00%，服务采购授予中小企业合同金额占服务支出金额的11.30%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截至2025年12月31日，天津市第四中心医院共有车辆5辆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其他用车5辆</w:t>
      </w:r>
      <w:r>
        <w:rPr>
          <w:rFonts w:eastAsia="仿宋_GB2312" w:hint="eastAsia"/>
          <w:sz w:val="30"/>
          <w:szCs w:val="30"/>
          <w:highlight w:val="none"/>
          <w:lang w:val="en-US" w:eastAsia="zh-CN"/>
        </w:rPr>
        <w:t xml:space="preserve">，其他用车主要包括大众帕萨特一辆、卫健委调拨4辆疫情防控用的电动三轮车</w:t>
      </w:r>
      <w:r>
        <w:rPr>
          <w:rFonts w:eastAsia="仿宋_GB2312" w:hint="eastAsia"/>
          <w:sz w:val="30"/>
          <w:szCs w:val="30"/>
          <w:highlight w:val="none"/>
          <w:lang w:val="en-US" w:eastAsia="zh-CN"/>
        </w:rPr>
        <w:t xml:space="preserve">。单价100万元以上的设备84台（套）。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根据预算绩效管理要求，天津市第四中心医院已对16个2025年度市级项目开展绩效自评，涉及金额530788000元，自评结果已随部门决算一并公开。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天津市第四中心医院不属于乡、镇、街级单位，不涉及公开2025年度教育、医疗卫生、社会保障和就业、住房保障、涉农补贴等民生支出情况。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98CF42A-E3BF-4EB2-9C6F-2A7B02877390}"/>
    <w:embedBold r:id="rId2" w:subsetted="1" w:fontKey="{902FD820-FFB6-410B-AD10-77EF73023929}"/>
  </w:font>
  <w:font w:name="Cambria">
    <w:panose1 w:val="02040503050406030204"/>
    <w:charset w:val="00"/>
    <w:family w:val="roman"/>
    <w:pitch w:val="default"/>
    <w:sig w:usb0="E00006FF" w:usb1="420024FF" w:usb2="02000000" w:usb3="00000000" w:csb0="2000019F" w:csb1="00000000"/>
    <w:embedRegular r:id="rId3" w:fontKey="{1CDF93BF-7FC2-4418-99D7-F7DBDB04A8A6}"/>
  </w:font>
  <w:font w:name="Calibri">
    <w:panose1 w:val="020F0502020204030204"/>
    <w:charset w:val="00"/>
    <w:family w:val="swiss"/>
    <w:pitch w:val="default"/>
    <w:sig w:usb0="E4002EFF" w:usb1="C200247B" w:usb2="00000009" w:usb3="00000000" w:csb0="200001FF" w:csb1="00000000"/>
    <w:embedRegular r:id="rId4" w:fontKey="{3AF845EC-3CA5-4451-8ABF-A1B7C233C50D}"/>
  </w:font>
  <w:font w:name="黑体">
    <w:panose1 w:val="02010609060101010101"/>
    <w:charset w:val="FFFFFF86"/>
    <w:family w:val="auto"/>
    <w:pitch w:val="default"/>
    <w:sig w:usb0="800002BF" w:usb1="38CF7CFA" w:usb2="00000016" w:usb3="00000000" w:csb0="00040001" w:csb1="00000000"/>
    <w:embedRegular r:id="rId5" w:subsetted="1" w:fontKey="{062B704C-7508-44F8-B8F1-BF8C2F159E3C}"/>
    <w:embedBold r:id="rId6" w:subsetted="1" w:fontKey="{3009DAE1-4FE4-4DB6-B834-BC2E2F6C5562}"/>
  </w:font>
  <w:font w:name="方正小标宋简体">
    <w:altName w:val="黑体"/>
    <w:panose1 w:val="02000000000000000000"/>
    <w:charset w:val="FFFFFF86"/>
    <w:family w:val="auto"/>
    <w:pitch w:val="default"/>
    <w:sig w:usb0="00000001" w:usb1="08000000" w:usb2="00000000" w:usb3="00000000" w:csb0="00040000" w:csb1="00000000"/>
    <w:embedRegular r:id="rId7" w:fontKey="{ADB66D2F-4881-44A8-A29A-A80559247346}"/>
    <w:embedBold r:id="rId8" w:fontKey="{13C4B7EE-83F3-4E54-93B8-04F49AF980EC}"/>
  </w:font>
  <w:font w:name="仿宋">
    <w:panose1 w:val="02010609060101010101"/>
    <w:charset w:val="FFFFFF86"/>
    <w:family w:val="auto"/>
    <w:pitch w:val="default"/>
    <w:sig w:usb0="800002BF" w:usb1="38CF7CFA" w:usb2="00000016" w:usb3="00000000" w:csb0="00040001" w:csb1="00000000"/>
    <w:embedRegular r:id="rId9" w:subsetted="1" w:fontKey="{5C9262F9-7375-4E79-AC90-AD7378C5BC0B}"/>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6B18292B-22F0-4513-BAB7-EF594F69E2D7}"/>
  </w:font>
  <w:font w:name="方正楷体_GB2312">
    <w:altName w:val="宋体"/>
    <w:panose1 w:val="02000000000000000000"/>
    <w:charset w:val="FFFFFF86"/>
    <w:family w:val="auto"/>
    <w:pitch w:val="default"/>
    <w:sig w:usb0="A00002BF" w:usb1="184F6CFA" w:usb2="00000012" w:usb3="00000000" w:csb0="00040001" w:csb1="00000000"/>
    <w:embedRegular r:id="rId11" w:fontKey="{FAB48F7E-8C9C-4F31-BFF9-AD09A679E73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69C8D675-7861-4C2B-AC6B-6C2703FD974F}"/>
    <w:embedBold r:id="rId13" w:subsetted="1" w:fontKey="{DE86D77C-CADD-4BFE-9974-205EEC3A20CB}"/>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37</Pages>
  <Words>2179</Words>
  <Characters>9250</Characters>
  <Application>WPS Office_12.1.0.28043_F1E327BC-269C-435d-A152-05C5408002CA</Application>
  <DocSecurity>0</DocSecurity>
  <Lines>60</Lines>
  <Paragraphs>16</Paragraphs>
  <ScaleCrop>false</ScaleCrop>
  <Company>Microsoft</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2026-08-24T02:43:28Z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